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F4" w:rsidRDefault="002B28DE" w:rsidP="00F064F4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064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</w:t>
      </w:r>
      <w:r w:rsidR="00F064F4" w:rsidRPr="00A20A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 21.01 - 0</w:t>
      </w:r>
      <w:r w:rsidR="00A20A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="00F064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977"/>
        <w:gridCol w:w="7444"/>
      </w:tblGrid>
      <w:tr w:rsidR="00AB5C0C" w:rsidTr="00AB5C0C">
        <w:trPr>
          <w:trHeight w:val="2552"/>
        </w:trPr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5C0C" w:rsidRPr="00A817FB" w:rsidRDefault="00AB5C0C" w:rsidP="00A817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A817FB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67945</wp:posOffset>
                  </wp:positionV>
                  <wp:extent cx="1555115" cy="1428750"/>
                  <wp:effectExtent l="0" t="0" r="6985" b="0"/>
                  <wp:wrapTight wrapText="bothSides">
                    <wp:wrapPolygon edited="0">
                      <wp:start x="0" y="0"/>
                      <wp:lineTo x="0" y="21312"/>
                      <wp:lineTo x="21432" y="21312"/>
                      <wp:lineTo x="21432" y="0"/>
                      <wp:lineTo x="0" y="0"/>
                    </wp:wrapPolygon>
                  </wp:wrapTight>
                  <wp:docPr id="3" name="Рисунок 3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навчальної дисципліни</w:t>
            </w:r>
          </w:p>
          <w:p w:rsidR="00AB5C0C" w:rsidRPr="009E0952" w:rsidRDefault="00F02A10" w:rsidP="00F02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95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E62A2" w:rsidRPr="009E0952">
              <w:rPr>
                <w:rFonts w:ascii="Times New Roman" w:hAnsi="Times New Roman"/>
                <w:b/>
                <w:bCs/>
                <w:sz w:val="32"/>
              </w:rPr>
              <w:t>Корозія матеріалів</w:t>
            </w:r>
            <w:r w:rsidRPr="009E0952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Освітньо-п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рофесійна програма: Хімічні технології палива та вуглецевих матеріалів</w:t>
            </w:r>
          </w:p>
          <w:p w:rsidR="00AB5C0C" w:rsidRDefault="00AB5C0C" w:rsidP="0085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Спеціальність: 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161 Хімічні технології та інженерія</w:t>
            </w:r>
          </w:p>
          <w:p w:rsidR="00AB5C0C" w:rsidRPr="00102B7E" w:rsidRDefault="00AB5C0C" w:rsidP="00AB5C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Галузь знань: </w:t>
            </w:r>
            <w:r w:rsidR="00B27413">
              <w:rPr>
                <w:rFonts w:ascii="Times New Roman" w:hAnsi="Times New Roman"/>
                <w:b/>
                <w:sz w:val="24"/>
                <w:szCs w:val="24"/>
              </w:rPr>
              <w:t>16 Хімічна та біоінженерія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7444" w:type="dxa"/>
            <w:tcBorders>
              <w:top w:val="single" w:sz="4" w:space="0" w:color="auto"/>
            </w:tcBorders>
          </w:tcPr>
          <w:p w:rsidR="00FE5E5E" w:rsidRDefault="00606397" w:rsidP="00CC0E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Перший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 бакалаврський</w:t>
            </w:r>
            <w:r w:rsidR="00B274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E5E5E" w:rsidTr="00AB5C0C">
        <w:trPr>
          <w:trHeight w:hRule="exact" w:val="629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7444" w:type="dxa"/>
          </w:tcPr>
          <w:p w:rsidR="00FE5E5E" w:rsidRPr="00244F04" w:rsidRDefault="00CC0EA3" w:rsidP="00244F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Професійно-орієнтована н</w:t>
            </w:r>
            <w:r w:rsidRPr="00A81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авчальна дисципліна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вибір</w:t>
            </w:r>
            <w:r w:rsidRPr="00A817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кового компонента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7444" w:type="dxa"/>
          </w:tcPr>
          <w:p w:rsidR="00FE5E5E" w:rsidRPr="00592216" w:rsidRDefault="00592216" w:rsidP="00CC0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2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весняний</w:t>
            </w:r>
          </w:p>
        </w:tc>
      </w:tr>
      <w:tr w:rsidR="00FE5E5E" w:rsidTr="00AB5C0C">
        <w:trPr>
          <w:trHeight w:val="85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A20A5D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 дисципліни, кредити ЄКТС</w:t>
            </w:r>
            <w:r w:rsidRPr="00A20A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="00AB5C0C">
              <w:rPr>
                <w:rFonts w:ascii="Times New Roman" w:hAnsi="Times New Roman"/>
                <w:b/>
                <w:sz w:val="24"/>
                <w:szCs w:val="24"/>
              </w:rPr>
              <w:t>загальна кільк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ість годин</w:t>
            </w:r>
          </w:p>
        </w:tc>
        <w:tc>
          <w:tcPr>
            <w:tcW w:w="7444" w:type="dxa"/>
          </w:tcPr>
          <w:p w:rsidR="00FE5E5E" w:rsidRPr="00F0449C" w:rsidRDefault="00BE62A2" w:rsidP="00F04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6063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</w:t>
            </w:r>
            <w:r w:rsidR="00F0449C" w:rsidRPr="00F044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180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3A4229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7444" w:type="dxa"/>
          </w:tcPr>
          <w:p w:rsidR="00FE5E5E" w:rsidRPr="00F0449C" w:rsidRDefault="00F0449C" w:rsidP="005F5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44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FE5E5E" w:rsidTr="007C368D">
        <w:trPr>
          <w:trHeight w:val="915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Що буде вивчатися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(предмет вивчення)</w:t>
            </w:r>
          </w:p>
        </w:tc>
        <w:tc>
          <w:tcPr>
            <w:tcW w:w="7444" w:type="dxa"/>
          </w:tcPr>
          <w:p w:rsidR="00FE5E5E" w:rsidRPr="005B32E5" w:rsidRDefault="00BE62A2" w:rsidP="005B32E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Корозійні явища та сучасні й ефективні методи захисту конструкційних матеріалів від корозії</w:t>
            </w:r>
          </w:p>
        </w:tc>
      </w:tr>
      <w:tr w:rsidR="00FE5E5E" w:rsidTr="00AB5C0C">
        <w:trPr>
          <w:trHeight w:val="551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(мета)</w:t>
            </w:r>
          </w:p>
        </w:tc>
        <w:tc>
          <w:tcPr>
            <w:tcW w:w="7444" w:type="dxa"/>
          </w:tcPr>
          <w:p w:rsidR="00FE5E5E" w:rsidRPr="00F9432E" w:rsidRDefault="00BE62A2" w:rsidP="005B3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A2">
              <w:rPr>
                <w:rFonts w:ascii="Times New Roman" w:hAnsi="Times New Roman"/>
                <w:sz w:val="24"/>
                <w:szCs w:val="24"/>
              </w:rPr>
              <w:t>Метою викладання дисципліни «Корозія матеріалів» є розкриття сучасних уявлень щодо теоретичних засад процесів руйнування конструкційних матеріалів під впливом природних та техногенних факторів, обґрунтування умов їх термодинамічної можливості та кінетики і механізмів самочинного перебігу, ознайомлення з видами корозійних руйнувань матеріалів, методами їх дослідження та напрямами створення ефективних засобів захисту.</w:t>
            </w:r>
          </w:p>
        </w:tc>
      </w:tr>
      <w:tr w:rsidR="00FE5E5E" w:rsidTr="00AB5C0C">
        <w:trPr>
          <w:trHeight w:val="591"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FE5E5E" w:rsidRPr="00CE479B" w:rsidRDefault="00FE5E5E" w:rsidP="00852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444" w:type="dxa"/>
            <w:vAlign w:val="center"/>
          </w:tcPr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 xml:space="preserve">В результаті вивчення навчальної дисципліни студент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буде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b/>
                <w:iCs/>
                <w:sz w:val="24"/>
                <w:szCs w:val="24"/>
              </w:rPr>
              <w:t>Знати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ab/>
              <w:t>основні технічні, соціально-економічні та екологічні задачі, які пов’язані з корозійним руйнуванням металічних та неметалічних конструкційних матеріалів;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ab/>
              <w:t>класифікацію та теоретичні засади руйнівних процесів при контакті   конструкційних матеріалів з природними та технологічними агресивними середовищами, умови їх виникнення механізм перебігу;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ab/>
              <w:t>принципи раціонального  проектування технологічного обладнання та вибору методів і засобів захисту конструкційних матеріалів від руйнування в умовах їх застосування;</w:t>
            </w:r>
          </w:p>
          <w:p w:rsid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ab/>
              <w:t>експериментальні методи дослідження корозії матеріалів та ефективності засобів їх захисту.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 xml:space="preserve">В результаті вивчення навчальної дисципліни студент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буде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b/>
                <w:iCs/>
                <w:sz w:val="24"/>
                <w:szCs w:val="24"/>
              </w:rPr>
              <w:t>Вміти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ab/>
              <w:t>самостійно виконувати техніко-економічне та соціально-екологічне обґрунтування інженерних рішень при проектуванні та виборі технологічного обладнання з урахуванням руйнівного впливу агресивних середовищ при його застосуванні;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ab/>
              <w:t>самостійно проводити дослідження корозійних систем, визначати термодинамічні умови перебігу електрохімічних та хімічних руйнівних процесів, аналізувати їх виникнення, різновид та кінетику розвитку;</w:t>
            </w:r>
          </w:p>
          <w:p w:rsidR="00BE62A2" w:rsidRPr="00BE62A2" w:rsidRDefault="00BE62A2" w:rsidP="00BE62A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самостійно виконувати експериментальну експертизу стійкості 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конструкційних матеріалів в умовах їх використання, прогнозувати надійність та можливі наслідки впливу середовищ;</w:t>
            </w:r>
          </w:p>
          <w:p w:rsidR="005B32E5" w:rsidRPr="005B32E5" w:rsidRDefault="00BE62A2" w:rsidP="00BE6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E62A2">
              <w:rPr>
                <w:rFonts w:ascii="Times New Roman" w:hAnsi="Times New Roman"/>
                <w:iCs/>
                <w:sz w:val="24"/>
                <w:szCs w:val="24"/>
              </w:rPr>
              <w:tab/>
              <w:t>самостійно розробляти рекомендації та обґрунтовувати методи і засоби захисту конструкційних матеріалів від руйнування у різних агресивних середовищах, здійснювати експериментальну перевірку їх ефективності та доцільності впровадження.</w:t>
            </w:r>
          </w:p>
        </w:tc>
      </w:tr>
      <w:tr w:rsidR="00FE5E5E" w:rsidTr="00AB5C0C">
        <w:trPr>
          <w:trHeight w:val="1140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AB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444" w:type="dxa"/>
          </w:tcPr>
          <w:p w:rsidR="00FE5E5E" w:rsidRDefault="009D1A1E" w:rsidP="00651B5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1E">
              <w:rPr>
                <w:rFonts w:ascii="Times New Roman" w:hAnsi="Times New Roman"/>
                <w:sz w:val="24"/>
                <w:szCs w:val="24"/>
              </w:rPr>
              <w:t>Вміти використовувати знання теоретичного курс</w:t>
            </w:r>
            <w:r w:rsidR="000014ED">
              <w:rPr>
                <w:rFonts w:ascii="Times New Roman" w:hAnsi="Times New Roman"/>
                <w:sz w:val="24"/>
                <w:szCs w:val="24"/>
              </w:rPr>
              <w:t xml:space="preserve">у для </w:t>
            </w:r>
            <w:r w:rsidR="00BE62A2">
              <w:rPr>
                <w:rFonts w:ascii="Times New Roman" w:hAnsi="Times New Roman"/>
                <w:sz w:val="24"/>
                <w:szCs w:val="24"/>
              </w:rPr>
              <w:t>визначення типу корозійного ураження матеріалу та обирати ефективний метод захисту від нього</w:t>
            </w:r>
            <w:r w:rsidR="00651B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B53" w:rsidRPr="00651B53" w:rsidRDefault="00651B53" w:rsidP="0065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тність до абстрактного мислення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 xml:space="preserve"> та синтезу оптимальних рішень;</w:t>
            </w:r>
          </w:p>
          <w:p w:rsidR="00651B53" w:rsidRDefault="00651B53" w:rsidP="0065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>датність застосовувати знання в практичних ситуаціях;</w:t>
            </w:r>
          </w:p>
          <w:p w:rsidR="00651B53" w:rsidRPr="00651B53" w:rsidRDefault="00651B53" w:rsidP="0065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>датність працювати як самостійно, так і в команді;</w:t>
            </w:r>
          </w:p>
          <w:p w:rsidR="00651B53" w:rsidRPr="00AA6A40" w:rsidRDefault="00651B53" w:rsidP="00BE6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 xml:space="preserve">датність прогнозувати та оцінювати зміни </w:t>
            </w:r>
            <w:r w:rsidR="00BE62A2">
              <w:rPr>
                <w:rFonts w:ascii="Times New Roman" w:hAnsi="Times New Roman"/>
                <w:sz w:val="24"/>
                <w:szCs w:val="24"/>
              </w:rPr>
              <w:t>експлуатаційних властивостей металів внаслідок їх корозії у процесі</w:t>
            </w:r>
            <w:r w:rsidRPr="00651B53">
              <w:rPr>
                <w:rFonts w:ascii="Times New Roman" w:hAnsi="Times New Roman"/>
                <w:sz w:val="24"/>
                <w:szCs w:val="24"/>
              </w:rPr>
              <w:t xml:space="preserve"> експлуатації та використання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5E5E" w:rsidTr="00AB5C0C"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0014ED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5E5E">
              <w:rPr>
                <w:rFonts w:ascii="Times New Roman" w:hAnsi="Times New Roman"/>
                <w:b/>
                <w:sz w:val="24"/>
                <w:szCs w:val="24"/>
              </w:rPr>
              <w:t>Навчальна логістика</w:t>
            </w:r>
          </w:p>
        </w:tc>
        <w:tc>
          <w:tcPr>
            <w:tcW w:w="7444" w:type="dxa"/>
          </w:tcPr>
          <w:p w:rsidR="0039226B" w:rsidRPr="0039226B" w:rsidRDefault="0039226B" w:rsidP="0039226B">
            <w:pPr>
              <w:pStyle w:val="p3"/>
              <w:shd w:val="clear" w:color="auto" w:fill="FFFFFF"/>
              <w:spacing w:before="19" w:beforeAutospacing="0" w:after="19" w:afterAutospacing="0"/>
              <w:ind w:left="34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Pr="00C76038">
              <w:rPr>
                <w:b/>
                <w:lang w:val="uk-UA"/>
              </w:rPr>
              <w:t xml:space="preserve">Зміст дисципліни: </w:t>
            </w:r>
            <w:r w:rsidRPr="0039226B">
              <w:rPr>
                <w:i/>
                <w:lang w:val="uk-UA"/>
              </w:rPr>
              <w:t xml:space="preserve">Модуль №1 </w:t>
            </w:r>
            <w:r w:rsidRPr="00BE62A2">
              <w:rPr>
                <w:rFonts w:eastAsia="Arial Unicode MS"/>
                <w:spacing w:val="-2"/>
                <w:lang w:val="uk-UA"/>
              </w:rPr>
              <w:t>«</w:t>
            </w:r>
            <w:r w:rsidR="00BE62A2" w:rsidRPr="00BE62A2">
              <w:rPr>
                <w:spacing w:val="-2"/>
                <w:lang w:val="uk-UA"/>
              </w:rPr>
              <w:t>Електрохімічна корозія металів</w:t>
            </w:r>
            <w:r w:rsidRPr="00BE62A2">
              <w:rPr>
                <w:rFonts w:eastAsia="Arial Unicode MS"/>
                <w:spacing w:val="-2"/>
                <w:lang w:val="uk-UA"/>
              </w:rPr>
              <w:t>»</w:t>
            </w:r>
            <w:r w:rsidRPr="00BE62A2">
              <w:rPr>
                <w:lang w:val="uk-UA"/>
              </w:rPr>
              <w:t xml:space="preserve"> </w:t>
            </w:r>
            <w:r w:rsidR="00BE62A2" w:rsidRPr="00BE62A2">
              <w:rPr>
                <w:lang w:val="uk-UA"/>
              </w:rPr>
              <w:t>Загальна характеристика корозійних процесів</w:t>
            </w:r>
            <w:r w:rsidRPr="0039226B">
              <w:rPr>
                <w:lang w:val="uk-UA"/>
              </w:rPr>
              <w:t>.</w:t>
            </w:r>
            <w:r w:rsidRPr="00BE62A2">
              <w:rPr>
                <w:lang w:val="uk-UA"/>
              </w:rPr>
              <w:t xml:space="preserve"> </w:t>
            </w:r>
            <w:proofErr w:type="spellStart"/>
            <w:r w:rsidR="00BE62A2" w:rsidRPr="00BE62A2">
              <w:t>Класифікація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корозії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металі</w:t>
            </w:r>
            <w:proofErr w:type="gramStart"/>
            <w:r w:rsidR="00BE62A2" w:rsidRPr="00BE62A2">
              <w:t>в</w:t>
            </w:r>
            <w:proofErr w:type="spellEnd"/>
            <w:proofErr w:type="gramEnd"/>
            <w:r w:rsidR="00BE62A2" w:rsidRPr="00BE62A2">
              <w:t xml:space="preserve"> за характером </w:t>
            </w:r>
            <w:proofErr w:type="spellStart"/>
            <w:r w:rsidR="00BE62A2" w:rsidRPr="00BE62A2">
              <w:t>корозійного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руйнування</w:t>
            </w:r>
            <w:proofErr w:type="spellEnd"/>
            <w:r w:rsidR="00BE62A2" w:rsidRPr="00BE62A2">
              <w:t xml:space="preserve">, </w:t>
            </w:r>
            <w:proofErr w:type="spellStart"/>
            <w:r w:rsidR="00BE62A2" w:rsidRPr="00BE62A2">
              <w:t>швидкістю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корозії</w:t>
            </w:r>
            <w:proofErr w:type="spellEnd"/>
            <w:r w:rsidRPr="0039226B">
              <w:t>.</w:t>
            </w:r>
            <w:r w:rsidRPr="0039226B">
              <w:rPr>
                <w:lang w:val="uk-UA"/>
              </w:rPr>
              <w:t xml:space="preserve">  </w:t>
            </w:r>
            <w:proofErr w:type="spellStart"/>
            <w:r w:rsidR="00BE62A2" w:rsidRPr="00BE62A2">
              <w:t>Електрохімічна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корозія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металів</w:t>
            </w:r>
            <w:proofErr w:type="spellEnd"/>
            <w:r w:rsidRPr="0039226B">
              <w:t xml:space="preserve">. </w:t>
            </w:r>
            <w:proofErr w:type="spellStart"/>
            <w:r w:rsidR="00BE62A2" w:rsidRPr="00BE62A2">
              <w:t>Діаграма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Пурбе</w:t>
            </w:r>
            <w:proofErr w:type="spellEnd"/>
            <w:r w:rsidR="00BE62A2" w:rsidRPr="00BE62A2">
              <w:t xml:space="preserve"> для </w:t>
            </w:r>
            <w:proofErr w:type="spellStart"/>
            <w:r w:rsidR="00BE62A2" w:rsidRPr="00BE62A2">
              <w:t>системи</w:t>
            </w:r>
            <w:proofErr w:type="spellEnd"/>
            <w:r w:rsidR="00BE62A2" w:rsidRPr="00BE62A2">
              <w:t xml:space="preserve"> Fe-H2O та </w:t>
            </w:r>
            <w:proofErr w:type="spellStart"/>
            <w:r w:rsidR="00BE62A2" w:rsidRPr="00BE62A2">
              <w:t>принципи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її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побудови</w:t>
            </w:r>
            <w:proofErr w:type="spellEnd"/>
            <w:r w:rsidRPr="0039226B">
              <w:t xml:space="preserve">. </w:t>
            </w:r>
            <w:proofErr w:type="spellStart"/>
            <w:r w:rsidR="00BE62A2" w:rsidRPr="00BE62A2">
              <w:t>Корозія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металів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з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кисневою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деполяризацією</w:t>
            </w:r>
            <w:proofErr w:type="spellEnd"/>
            <w:r w:rsidR="00BE62A2" w:rsidRPr="00BE62A2">
              <w:t xml:space="preserve">, </w:t>
            </w:r>
            <w:proofErr w:type="spellStart"/>
            <w:r w:rsidR="00BE62A2" w:rsidRPr="00BE62A2">
              <w:t>умови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її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виникнення</w:t>
            </w:r>
            <w:proofErr w:type="spellEnd"/>
            <w:r w:rsidR="00BE62A2" w:rsidRPr="00BE62A2">
              <w:t xml:space="preserve">, </w:t>
            </w:r>
            <w:proofErr w:type="spellStart"/>
            <w:r w:rsidR="00BE62A2" w:rsidRPr="00BE62A2">
              <w:t>електрохімічні</w:t>
            </w:r>
            <w:proofErr w:type="spellEnd"/>
            <w:r w:rsidR="00BE62A2" w:rsidRPr="00BE62A2">
              <w:t xml:space="preserve"> та </w:t>
            </w:r>
            <w:proofErr w:type="spellStart"/>
            <w:r w:rsidR="00BE62A2" w:rsidRPr="00BE62A2">
              <w:t>хімічні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реакції</w:t>
            </w:r>
            <w:proofErr w:type="spellEnd"/>
            <w:r w:rsidR="00BE62A2" w:rsidRPr="00BE62A2">
              <w:t xml:space="preserve">, </w:t>
            </w:r>
            <w:proofErr w:type="spellStart"/>
            <w:r w:rsidR="00BE62A2" w:rsidRPr="00BE62A2">
              <w:t>граничний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дифузійний</w:t>
            </w:r>
            <w:proofErr w:type="spellEnd"/>
            <w:r w:rsidR="00BE62A2" w:rsidRPr="00BE62A2">
              <w:t xml:space="preserve"> струм </w:t>
            </w:r>
            <w:proofErr w:type="spellStart"/>
            <w:r w:rsidR="00BE62A2" w:rsidRPr="00BE62A2">
              <w:t>відновлення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кисню</w:t>
            </w:r>
            <w:proofErr w:type="spellEnd"/>
          </w:p>
          <w:p w:rsidR="0039226B" w:rsidRPr="00BE62A2" w:rsidRDefault="00A754C6" w:rsidP="0039226B">
            <w:pPr>
              <w:pStyle w:val="p3"/>
              <w:shd w:val="clear" w:color="auto" w:fill="FFFFFF"/>
              <w:spacing w:before="19" w:beforeAutospacing="0" w:after="19" w:afterAutospacing="0"/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9226B" w:rsidRPr="00C76038">
              <w:rPr>
                <w:i/>
                <w:lang w:val="uk-UA"/>
              </w:rPr>
              <w:t xml:space="preserve">Модуль № 2 </w:t>
            </w:r>
            <w:r w:rsidR="0039226B" w:rsidRPr="0039226B">
              <w:rPr>
                <w:rFonts w:eastAsia="Arial Unicode MS"/>
                <w:spacing w:val="-2"/>
              </w:rPr>
              <w:t>«</w:t>
            </w:r>
            <w:proofErr w:type="spellStart"/>
            <w:r w:rsidR="00BE62A2" w:rsidRPr="00BE62A2">
              <w:rPr>
                <w:spacing w:val="-2"/>
              </w:rPr>
              <w:t>Хімічне</w:t>
            </w:r>
            <w:proofErr w:type="spellEnd"/>
            <w:r w:rsidR="00BE62A2" w:rsidRPr="00BE62A2">
              <w:rPr>
                <w:spacing w:val="-2"/>
              </w:rPr>
              <w:t xml:space="preserve"> </w:t>
            </w:r>
            <w:proofErr w:type="spellStart"/>
            <w:r w:rsidR="00BE62A2" w:rsidRPr="00BE62A2">
              <w:rPr>
                <w:spacing w:val="-2"/>
              </w:rPr>
              <w:t>руйнування</w:t>
            </w:r>
            <w:proofErr w:type="spellEnd"/>
            <w:r w:rsidR="00BE62A2" w:rsidRPr="00BE62A2">
              <w:rPr>
                <w:spacing w:val="-2"/>
              </w:rPr>
              <w:t xml:space="preserve"> </w:t>
            </w:r>
            <w:proofErr w:type="spellStart"/>
            <w:r w:rsidR="00BE62A2" w:rsidRPr="00BE62A2">
              <w:rPr>
                <w:spacing w:val="-2"/>
              </w:rPr>
              <w:t>металевих</w:t>
            </w:r>
            <w:proofErr w:type="spellEnd"/>
            <w:r w:rsidR="00BE62A2" w:rsidRPr="00BE62A2">
              <w:rPr>
                <w:spacing w:val="-2"/>
              </w:rPr>
              <w:t xml:space="preserve"> та </w:t>
            </w:r>
            <w:proofErr w:type="spellStart"/>
            <w:r w:rsidR="00BE62A2" w:rsidRPr="00BE62A2">
              <w:rPr>
                <w:spacing w:val="-2"/>
              </w:rPr>
              <w:t>неметалевих</w:t>
            </w:r>
            <w:proofErr w:type="spellEnd"/>
            <w:r w:rsidR="00BE62A2" w:rsidRPr="00BE62A2">
              <w:rPr>
                <w:spacing w:val="-2"/>
              </w:rPr>
              <w:t xml:space="preserve"> </w:t>
            </w:r>
            <w:proofErr w:type="spellStart"/>
            <w:r w:rsidR="00BE62A2" w:rsidRPr="00BE62A2">
              <w:rPr>
                <w:spacing w:val="-2"/>
              </w:rPr>
              <w:t>матеріалів</w:t>
            </w:r>
            <w:proofErr w:type="spellEnd"/>
            <w:r w:rsidR="00BE62A2" w:rsidRPr="00BE62A2">
              <w:rPr>
                <w:spacing w:val="-2"/>
              </w:rPr>
              <w:t xml:space="preserve">. </w:t>
            </w:r>
            <w:proofErr w:type="spellStart"/>
            <w:r w:rsidR="00BE62A2" w:rsidRPr="00BE62A2">
              <w:rPr>
                <w:spacing w:val="-2"/>
              </w:rPr>
              <w:t>Методи</w:t>
            </w:r>
            <w:proofErr w:type="spellEnd"/>
            <w:r w:rsidR="00BE62A2" w:rsidRPr="00BE62A2">
              <w:rPr>
                <w:spacing w:val="-2"/>
              </w:rPr>
              <w:t xml:space="preserve"> </w:t>
            </w:r>
            <w:proofErr w:type="spellStart"/>
            <w:r w:rsidR="00BE62A2" w:rsidRPr="00BE62A2">
              <w:rPr>
                <w:spacing w:val="-2"/>
              </w:rPr>
              <w:t>захисту</w:t>
            </w:r>
            <w:proofErr w:type="spellEnd"/>
            <w:r w:rsidR="00BE62A2" w:rsidRPr="00BE62A2">
              <w:rPr>
                <w:spacing w:val="-2"/>
              </w:rPr>
              <w:t xml:space="preserve"> </w:t>
            </w:r>
            <w:proofErr w:type="spellStart"/>
            <w:r w:rsidR="00BE62A2" w:rsidRPr="00BE62A2">
              <w:rPr>
                <w:spacing w:val="-2"/>
              </w:rPr>
              <w:t>конструкційних</w:t>
            </w:r>
            <w:proofErr w:type="spellEnd"/>
            <w:r w:rsidR="00BE62A2" w:rsidRPr="00BE62A2">
              <w:rPr>
                <w:spacing w:val="-2"/>
              </w:rPr>
              <w:t xml:space="preserve"> </w:t>
            </w:r>
            <w:proofErr w:type="spellStart"/>
            <w:proofErr w:type="gramStart"/>
            <w:r w:rsidR="00BE62A2" w:rsidRPr="00BE62A2">
              <w:rPr>
                <w:spacing w:val="-2"/>
              </w:rPr>
              <w:t>матер</w:t>
            </w:r>
            <w:proofErr w:type="gramEnd"/>
            <w:r w:rsidR="00BE62A2" w:rsidRPr="00BE62A2">
              <w:rPr>
                <w:spacing w:val="-2"/>
              </w:rPr>
              <w:t>іалів</w:t>
            </w:r>
            <w:proofErr w:type="spellEnd"/>
            <w:r w:rsidR="0039226B" w:rsidRPr="0039226B">
              <w:rPr>
                <w:rFonts w:eastAsia="Arial Unicode MS"/>
                <w:spacing w:val="-2"/>
              </w:rPr>
              <w:t>»</w:t>
            </w:r>
            <w:r w:rsidR="0039226B">
              <w:rPr>
                <w:rFonts w:eastAsia="Arial Unicode MS"/>
                <w:spacing w:val="-2"/>
                <w:lang w:val="uk-UA"/>
              </w:rPr>
              <w:t>.</w:t>
            </w:r>
            <w:r w:rsidR="0039226B">
              <w:rPr>
                <w:lang w:val="uk-UA"/>
              </w:rPr>
              <w:t xml:space="preserve"> </w:t>
            </w:r>
            <w:proofErr w:type="spellStart"/>
            <w:r w:rsidR="00BE62A2" w:rsidRPr="00BE62A2">
              <w:t>Хімічна</w:t>
            </w:r>
            <w:proofErr w:type="spellEnd"/>
            <w:r w:rsidR="00BE62A2" w:rsidRPr="00BE62A2">
              <w:t xml:space="preserve"> та </w:t>
            </w:r>
            <w:proofErr w:type="spellStart"/>
            <w:r w:rsidR="00BE62A2" w:rsidRPr="00BE62A2">
              <w:t>біологічна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корозія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металів</w:t>
            </w:r>
            <w:proofErr w:type="spellEnd"/>
            <w:r w:rsidRPr="00A754C6">
              <w:rPr>
                <w:lang w:val="uk-UA"/>
              </w:rPr>
              <w:t xml:space="preserve">. </w:t>
            </w:r>
            <w:proofErr w:type="spellStart"/>
            <w:r w:rsidR="00BE62A2" w:rsidRPr="00BE62A2">
              <w:t>Захист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металів</w:t>
            </w:r>
            <w:proofErr w:type="spellEnd"/>
            <w:r w:rsidR="00BE62A2" w:rsidRPr="00BE62A2">
              <w:t xml:space="preserve"> </w:t>
            </w:r>
            <w:proofErr w:type="spellStart"/>
            <w:proofErr w:type="gramStart"/>
            <w:r w:rsidR="00BE62A2" w:rsidRPr="00BE62A2">
              <w:t>в</w:t>
            </w:r>
            <w:proofErr w:type="gramEnd"/>
            <w:r w:rsidR="00BE62A2" w:rsidRPr="00BE62A2">
              <w:t>ід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корозійного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руйнування</w:t>
            </w:r>
            <w:proofErr w:type="spellEnd"/>
            <w:r w:rsidRPr="00A754C6">
              <w:t xml:space="preserve">. </w:t>
            </w:r>
            <w:proofErr w:type="spellStart"/>
            <w:r w:rsidR="00BE62A2" w:rsidRPr="00BE62A2">
              <w:t>Електрохімічні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методи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захисту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металів</w:t>
            </w:r>
            <w:proofErr w:type="spellEnd"/>
            <w:r w:rsidR="00BE62A2" w:rsidRPr="00BE62A2">
              <w:t xml:space="preserve"> </w:t>
            </w:r>
            <w:proofErr w:type="spellStart"/>
            <w:proofErr w:type="gramStart"/>
            <w:r w:rsidR="00BE62A2" w:rsidRPr="00BE62A2">
              <w:t>в</w:t>
            </w:r>
            <w:proofErr w:type="gramEnd"/>
            <w:r w:rsidR="00BE62A2" w:rsidRPr="00BE62A2">
              <w:t>ід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корозійного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руйнування</w:t>
            </w:r>
            <w:proofErr w:type="spellEnd"/>
            <w:r w:rsidR="00BE62A2" w:rsidRPr="00BE62A2">
              <w:t xml:space="preserve"> (</w:t>
            </w:r>
            <w:proofErr w:type="spellStart"/>
            <w:r w:rsidR="00BE62A2" w:rsidRPr="00BE62A2">
              <w:t>катодний</w:t>
            </w:r>
            <w:proofErr w:type="spellEnd"/>
            <w:r w:rsidR="00BE62A2" w:rsidRPr="00BE62A2">
              <w:t xml:space="preserve">, </w:t>
            </w:r>
            <w:proofErr w:type="spellStart"/>
            <w:r w:rsidR="00BE62A2" w:rsidRPr="00BE62A2">
              <w:t>протекторний</w:t>
            </w:r>
            <w:proofErr w:type="spellEnd"/>
            <w:r w:rsidR="00BE62A2" w:rsidRPr="00BE62A2">
              <w:t xml:space="preserve"> та </w:t>
            </w:r>
            <w:proofErr w:type="spellStart"/>
            <w:r w:rsidR="00BE62A2" w:rsidRPr="00BE62A2">
              <w:t>анодний</w:t>
            </w:r>
            <w:proofErr w:type="spellEnd"/>
            <w:r w:rsidR="00BE62A2" w:rsidRPr="00BE62A2">
              <w:t>)</w:t>
            </w:r>
            <w:r w:rsidRPr="00A754C6">
              <w:t xml:space="preserve">. </w:t>
            </w:r>
            <w:proofErr w:type="spellStart"/>
            <w:r w:rsidR="00BE62A2" w:rsidRPr="00BE62A2">
              <w:t>Напрямлена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зміна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властивостей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агресивного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середовища</w:t>
            </w:r>
            <w:proofErr w:type="spellEnd"/>
            <w:r w:rsidR="00BE62A2" w:rsidRPr="00BE62A2">
              <w:t xml:space="preserve"> (</w:t>
            </w:r>
            <w:proofErr w:type="spellStart"/>
            <w:r w:rsidR="00BE62A2" w:rsidRPr="00BE62A2">
              <w:t>деаерація</w:t>
            </w:r>
            <w:proofErr w:type="spellEnd"/>
            <w:r w:rsidR="00BE62A2" w:rsidRPr="00BE62A2">
              <w:t xml:space="preserve">, </w:t>
            </w:r>
            <w:proofErr w:type="spellStart"/>
            <w:r w:rsidR="00BE62A2" w:rsidRPr="00BE62A2">
              <w:t>хімічні</w:t>
            </w:r>
            <w:proofErr w:type="spellEnd"/>
            <w:r w:rsidR="00BE62A2" w:rsidRPr="00BE62A2">
              <w:t xml:space="preserve"> </w:t>
            </w:r>
            <w:proofErr w:type="spellStart"/>
            <w:r w:rsidR="00BE62A2" w:rsidRPr="00BE62A2">
              <w:t>методи</w:t>
            </w:r>
            <w:proofErr w:type="spellEnd"/>
            <w:r w:rsidR="00BE62A2" w:rsidRPr="00BE62A2">
              <w:t>)</w:t>
            </w:r>
            <w:r w:rsidRPr="00A754C6">
              <w:t>.</w:t>
            </w:r>
            <w:r w:rsidR="00BE62A2">
              <w:rPr>
                <w:lang w:val="uk-UA"/>
              </w:rPr>
              <w:t xml:space="preserve"> </w:t>
            </w:r>
            <w:r w:rsidR="00BE62A2" w:rsidRPr="00BE62A2">
              <w:rPr>
                <w:lang w:val="uk-UA"/>
              </w:rPr>
              <w:t>Неметалеві конструкційні матеріали</w:t>
            </w:r>
            <w:r w:rsidR="00BE62A2">
              <w:rPr>
                <w:lang w:val="uk-UA"/>
              </w:rPr>
              <w:t xml:space="preserve">. </w:t>
            </w:r>
            <w:r w:rsidR="00BE62A2" w:rsidRPr="00BE62A2">
              <w:rPr>
                <w:lang w:val="uk-UA"/>
              </w:rPr>
              <w:t>Захисні лакофарбові, полімерні та інші органічні покриття.</w:t>
            </w:r>
          </w:p>
          <w:p w:rsidR="0039226B" w:rsidRPr="00445623" w:rsidRDefault="0039226B" w:rsidP="003922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Види занять: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54C6">
              <w:rPr>
                <w:rFonts w:ascii="Times New Roman" w:hAnsi="Times New Roman"/>
                <w:sz w:val="24"/>
                <w:szCs w:val="24"/>
              </w:rPr>
              <w:t>лекції</w:t>
            </w:r>
            <w:r w:rsidRPr="002019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54C6">
              <w:rPr>
                <w:rFonts w:ascii="Times New Roman" w:hAnsi="Times New Roman"/>
                <w:sz w:val="24"/>
                <w:szCs w:val="24"/>
              </w:rPr>
              <w:t>лабораторні заняття</w:t>
            </w:r>
          </w:p>
          <w:p w:rsidR="0039226B" w:rsidRPr="00445623" w:rsidRDefault="0039226B" w:rsidP="003922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Методи навчання: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0C2E">
              <w:rPr>
                <w:rFonts w:ascii="Times New Roman" w:hAnsi="Times New Roman"/>
                <w:sz w:val="24"/>
                <w:szCs w:val="24"/>
              </w:rPr>
              <w:t>пояснювально-ілюстративний метод,  метод проблемного викладу, дослідницький метод. Як активний метод навчання застосовується технологія розвитку критичного мислення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E5E" w:rsidRPr="00A754C6" w:rsidRDefault="0039226B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Форми навчання: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197E">
              <w:rPr>
                <w:rFonts w:ascii="Times New Roman" w:hAnsi="Times New Roman"/>
                <w:sz w:val="24"/>
                <w:szCs w:val="24"/>
              </w:rPr>
              <w:t>денна, заочна</w:t>
            </w:r>
            <w:r>
              <w:rPr>
                <w:rFonts w:ascii="Times New Roman" w:hAnsi="Times New Roman"/>
                <w:sz w:val="24"/>
                <w:szCs w:val="24"/>
              </w:rPr>
              <w:t>, дистанційна.</w:t>
            </w:r>
          </w:p>
        </w:tc>
      </w:tr>
      <w:tr w:rsidR="00FE5E5E" w:rsidTr="004A7BF0">
        <w:trPr>
          <w:trHeight w:hRule="exact" w:val="485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4E7020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444" w:type="dxa"/>
          </w:tcPr>
          <w:p w:rsidR="00892A83" w:rsidRDefault="00BE62A2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6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Загальна та неорганічна хімія</w:t>
            </w:r>
            <w:r w:rsidR="00A7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 w:rsidRPr="00BE6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Вища математика</w:t>
            </w: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2A83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5E5E" w:rsidRPr="00FE1811" w:rsidRDefault="00892A83" w:rsidP="00FE18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нафти</w:t>
            </w:r>
            <w:r w:rsidR="00A7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нафти</w:t>
            </w:r>
            <w:proofErr w:type="spellEnd"/>
            <w:r w:rsidR="00A7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газу</w:t>
            </w:r>
          </w:p>
        </w:tc>
      </w:tr>
      <w:tr w:rsidR="00413D67" w:rsidTr="00D60B19">
        <w:trPr>
          <w:trHeight w:val="558"/>
        </w:trPr>
        <w:tc>
          <w:tcPr>
            <w:tcW w:w="2977" w:type="dxa"/>
            <w:shd w:val="clear" w:color="auto" w:fill="BFBFBF" w:themeFill="background1" w:themeFillShade="BF"/>
          </w:tcPr>
          <w:p w:rsidR="00413D67" w:rsidRPr="006123BC" w:rsidRDefault="00413D67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444" w:type="dxa"/>
          </w:tcPr>
          <w:p w:rsidR="00892A83" w:rsidRPr="00413D67" w:rsidRDefault="004A7BF0" w:rsidP="00A754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7B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Загальна хімічна технологія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A7B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Хімія природних енергоносіїв та вуглецевих матеріалів</w:t>
            </w:r>
          </w:p>
        </w:tc>
      </w:tr>
      <w:tr w:rsidR="00FE5E5E" w:rsidTr="00AB5C0C">
        <w:trPr>
          <w:trHeight w:val="1084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444" w:type="dxa"/>
          </w:tcPr>
          <w:p w:rsidR="00627FC9" w:rsidRDefault="00627FC9" w:rsidP="00627FC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F0" w:rsidRPr="004A7BF0">
              <w:rPr>
                <w:rFonts w:ascii="Times New Roman" w:hAnsi="Times New Roman"/>
                <w:sz w:val="24"/>
                <w:szCs w:val="24"/>
              </w:rPr>
              <w:t xml:space="preserve">Степаненко О.М., Рейтер Л.Г., </w:t>
            </w:r>
            <w:proofErr w:type="spellStart"/>
            <w:r w:rsidR="004A7BF0" w:rsidRPr="004A7BF0">
              <w:rPr>
                <w:rFonts w:ascii="Times New Roman" w:hAnsi="Times New Roman"/>
                <w:sz w:val="24"/>
                <w:szCs w:val="24"/>
              </w:rPr>
              <w:t>Ледовських</w:t>
            </w:r>
            <w:proofErr w:type="spellEnd"/>
            <w:r w:rsidR="004A7BF0" w:rsidRPr="004A7BF0">
              <w:rPr>
                <w:rFonts w:ascii="Times New Roman" w:hAnsi="Times New Roman"/>
                <w:sz w:val="24"/>
                <w:szCs w:val="24"/>
              </w:rPr>
              <w:t xml:space="preserve"> В.М., Іванов С.В. Загальна та неорганічна хімія: в 2-х частинах. – К. : Педагогічна преса, 2000. – 784с.; 2002. – 520с</w:t>
            </w:r>
            <w:r w:rsidRPr="00627F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C660B7" w:rsidRPr="00C660B7" w:rsidRDefault="00C660B7" w:rsidP="00C660B7">
            <w:pPr>
              <w:tabs>
                <w:tab w:val="left" w:pos="144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4A7BF0" w:rsidRPr="004A7B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Антропов</w:t>
            </w:r>
            <w:proofErr w:type="spellEnd"/>
            <w:r w:rsidR="004A7BF0" w:rsidRPr="004A7B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Л.І. Теоретична електрохімія. – К.: Либідь, 1993. – 544с</w:t>
            </w:r>
            <w:r w:rsidRPr="00C660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660B7" w:rsidRPr="00C660B7" w:rsidRDefault="00C660B7" w:rsidP="00C66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6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F0" w:rsidRPr="004A7BF0">
              <w:rPr>
                <w:rFonts w:ascii="Times New Roman" w:hAnsi="Times New Roman"/>
                <w:sz w:val="24"/>
                <w:szCs w:val="24"/>
              </w:rPr>
              <w:t xml:space="preserve">Сахненко М.Д., </w:t>
            </w:r>
            <w:proofErr w:type="spellStart"/>
            <w:r w:rsidR="004A7BF0" w:rsidRPr="004A7BF0">
              <w:rPr>
                <w:rFonts w:ascii="Times New Roman" w:hAnsi="Times New Roman"/>
                <w:sz w:val="24"/>
                <w:szCs w:val="24"/>
              </w:rPr>
              <w:t>Ведь</w:t>
            </w:r>
            <w:proofErr w:type="spellEnd"/>
            <w:r w:rsidR="004A7BF0" w:rsidRPr="004A7BF0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proofErr w:type="spellStart"/>
            <w:r w:rsidR="004A7BF0" w:rsidRPr="004A7BF0">
              <w:rPr>
                <w:rFonts w:ascii="Times New Roman" w:hAnsi="Times New Roman"/>
                <w:sz w:val="24"/>
                <w:szCs w:val="24"/>
              </w:rPr>
              <w:t>Ярошок</w:t>
            </w:r>
            <w:proofErr w:type="spellEnd"/>
            <w:r w:rsidR="004A7BF0" w:rsidRPr="004A7BF0">
              <w:rPr>
                <w:rFonts w:ascii="Times New Roman" w:hAnsi="Times New Roman"/>
                <w:sz w:val="24"/>
                <w:szCs w:val="24"/>
              </w:rPr>
              <w:t xml:space="preserve"> Т.П. Основи теорії корозії та захисту металів. - Харків: НТУ ˝ХПІ˝, 2005. – 240с.</w:t>
            </w:r>
          </w:p>
          <w:p w:rsidR="00FE5E5E" w:rsidRPr="00413D67" w:rsidRDefault="00C660B7" w:rsidP="00CB115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3D67" w:rsidRPr="002607E9">
              <w:rPr>
                <w:rFonts w:ascii="Times New Roman" w:hAnsi="Times New Roman"/>
                <w:sz w:val="24"/>
                <w:szCs w:val="24"/>
              </w:rPr>
              <w:t xml:space="preserve">ідручники, навчальні посібники, методичні рекомендації до виконання лабораторних робіт, доступ до архівної інформації в </w:t>
            </w:r>
            <w:proofErr w:type="spellStart"/>
            <w:r w:rsidR="00413D67" w:rsidRPr="002607E9">
              <w:rPr>
                <w:rFonts w:ascii="Times New Roman" w:hAnsi="Times New Roman"/>
                <w:sz w:val="24"/>
                <w:szCs w:val="24"/>
              </w:rPr>
              <w:t>репозитарії</w:t>
            </w:r>
            <w:proofErr w:type="spellEnd"/>
            <w:r w:rsidR="00413D67" w:rsidRPr="002607E9">
              <w:rPr>
                <w:rFonts w:ascii="Times New Roman" w:hAnsi="Times New Roman"/>
                <w:sz w:val="24"/>
                <w:szCs w:val="24"/>
              </w:rPr>
              <w:t xml:space="preserve"> НАУ</w:t>
            </w:r>
            <w:r w:rsidR="00413D6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FE5E5E" w:rsidTr="00AB5C0C">
        <w:trPr>
          <w:trHeight w:val="559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444" w:type="dxa"/>
          </w:tcPr>
          <w:p w:rsidR="00FE5E5E" w:rsidRPr="00CE479B" w:rsidRDefault="00CB1156" w:rsidP="004A7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Лабораторія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загальної та неорганічної хімії</w:t>
            </w:r>
            <w:r w:rsidR="00627FC9">
              <w:rPr>
                <w:rFonts w:ascii="Times New Roman" w:hAnsi="Times New Roman"/>
                <w:sz w:val="24"/>
                <w:szCs w:val="24"/>
              </w:rPr>
              <w:t>, корпус НАУ №12,</w:t>
            </w:r>
            <w:r w:rsidR="004A7BF0">
              <w:rPr>
                <w:rFonts w:ascii="Times New Roman" w:hAnsi="Times New Roman"/>
                <w:sz w:val="24"/>
                <w:szCs w:val="24"/>
              </w:rPr>
              <w:t xml:space="preserve"> аудиторія 116, 118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5E5E" w:rsidTr="00AB5C0C">
        <w:trPr>
          <w:trHeight w:val="553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79B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екзаменаційна методика</w:t>
            </w:r>
          </w:p>
        </w:tc>
        <w:tc>
          <w:tcPr>
            <w:tcW w:w="7444" w:type="dxa"/>
          </w:tcPr>
          <w:p w:rsidR="00FE5E5E" w:rsidRDefault="00C660B7" w:rsidP="00CB1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Екзамен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444" w:type="dxa"/>
          </w:tcPr>
          <w:p w:rsidR="00FE5E5E" w:rsidRDefault="00CB1156" w:rsidP="00304F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Хімії і хімічної технології</w:t>
            </w:r>
          </w:p>
        </w:tc>
      </w:tr>
      <w:tr w:rsidR="00FE5E5E" w:rsidTr="00AB5C0C">
        <w:trPr>
          <w:trHeight w:hRule="exact" w:val="340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7444" w:type="dxa"/>
          </w:tcPr>
          <w:p w:rsidR="00FE5E5E" w:rsidRDefault="00CB1156" w:rsidP="00304F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62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Екологічної безпеки, інженерії та технологій</w:t>
            </w:r>
          </w:p>
        </w:tc>
      </w:tr>
      <w:tr w:rsidR="00FE5E5E" w:rsidTr="00AB5C0C">
        <w:trPr>
          <w:trHeight w:val="1959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Викладач(і)</w:t>
            </w:r>
          </w:p>
        </w:tc>
        <w:tc>
          <w:tcPr>
            <w:tcW w:w="7444" w:type="dxa"/>
          </w:tcPr>
          <w:p w:rsidR="00FE5E5E" w:rsidRPr="00342769" w:rsidRDefault="006A529D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A529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-3.55pt;margin-top:5.55pt;width:87pt;height:117pt;z-index:-251658240;visibility:visible;mso-position-horizontal-relative:text;mso-position-vertical-relative:text;mso-width-relative:margin;mso-height-relative:margin" wrapcoords="-186 -162 -186 21438 21786 21438 21786 -162 -186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" fillcolor="white [3201]" strokeweight=".5pt">
                  <v:textbox style="mso-next-textbox:#Поле 2">
                    <w:txbxContent>
                      <w:p w:rsidR="00FE5E5E" w:rsidRDefault="004A7BF0" w:rsidP="00ED5581">
                        <w:pPr>
                          <w:spacing w:after="0" w:line="257" w:lineRule="auto"/>
                          <w:jc w:val="center"/>
                        </w:pP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915670" cy="1359906"/>
                              <wp:effectExtent l="19050" t="0" r="0" b="0"/>
                              <wp:docPr id="2" name="Рисунок 1" descr="C:\Users\Таня\Downloads\Ледовських_ фото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Таня\Downloads\Ледовських_ фото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5670" cy="13599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55AB4">
                          <w:rPr>
                            <w:noProof/>
                            <w:lang w:val="ru-RU" w:eastAsia="ru-RU"/>
                          </w:rPr>
                          <w:drawing>
                            <wp:inline distT="0" distB="0" distL="0" distR="0">
                              <wp:extent cx="1038225" cy="14287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5E5E" w:rsidRDefault="00FE5E5E" w:rsidP="00ED5581">
                        <w:pPr>
                          <w:spacing w:after="0" w:line="257" w:lineRule="auto"/>
                          <w:jc w:val="center"/>
                        </w:pPr>
                      </w:p>
                      <w:p w:rsidR="00FE5E5E" w:rsidRDefault="00FE5E5E" w:rsidP="00ED5581">
                        <w:pPr>
                          <w:spacing w:after="0" w:line="257" w:lineRule="auto"/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  <w10:wrap type="tight"/>
                </v:shape>
              </w:pict>
            </w:r>
            <w:r w:rsidR="00FE5E5E" w:rsidRPr="00342769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  <w:r w:rsidR="00FE5E5E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</w:t>
            </w:r>
            <w:r w:rsidR="00CB115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4A7BF0">
              <w:rPr>
                <w:rFonts w:ascii="Times New Roman" w:hAnsi="Times New Roman"/>
                <w:b/>
                <w:sz w:val="24"/>
                <w:szCs w:val="24"/>
              </w:rPr>
              <w:t>Ледовських</w:t>
            </w:r>
            <w:proofErr w:type="spellEnd"/>
            <w:r w:rsidR="004A7BF0">
              <w:rPr>
                <w:rFonts w:ascii="Times New Roman" w:hAnsi="Times New Roman"/>
                <w:b/>
                <w:sz w:val="24"/>
                <w:szCs w:val="24"/>
              </w:rPr>
              <w:t xml:space="preserve"> Володимир Михайлович</w:t>
            </w:r>
          </w:p>
          <w:p w:rsidR="00FE5E5E" w:rsidRPr="00CB1156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професор</w:t>
            </w:r>
          </w:p>
          <w:p w:rsidR="00FE5E5E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Науковий</w:t>
            </w: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 ступінь: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доктор хімічних</w:t>
            </w:r>
            <w:r w:rsidR="00CB1156" w:rsidRPr="00CB1156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</w:p>
          <w:p w:rsidR="00FE5E5E" w:rsidRPr="00CB1156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Вчене звання: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професор</w:t>
            </w:r>
          </w:p>
          <w:p w:rsidR="00FE5E5E" w:rsidRPr="00342769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</w:t>
            </w:r>
          </w:p>
          <w:p w:rsidR="00FE5E5E" w:rsidRPr="004A7BF0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  <w:r w:rsidR="00CB1156" w:rsidRPr="00CB1156">
              <w:rPr>
                <w:rFonts w:ascii="Times New Roman" w:hAnsi="Times New Roman"/>
                <w:sz w:val="24"/>
                <w:szCs w:val="24"/>
              </w:rPr>
              <w:t>(</w:t>
            </w:r>
            <w:r w:rsidRPr="00CB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050</w:t>
            </w:r>
            <w:r w:rsidR="00CB1156" w:rsidRPr="00CB11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A7BF0">
              <w:rPr>
                <w:rFonts w:ascii="Times New Roman" w:hAnsi="Times New Roman"/>
                <w:sz w:val="24"/>
                <w:szCs w:val="24"/>
              </w:rPr>
              <w:t>6877432</w:t>
            </w:r>
          </w:p>
          <w:p w:rsidR="00FE5E5E" w:rsidRPr="009E0952" w:rsidRDefault="00FE5E5E" w:rsidP="0030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34276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volodymyr</w:t>
            </w:r>
            <w:r w:rsidR="004A7BF0" w:rsidRPr="009E095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ledovskykh</w:t>
            </w:r>
            <w:r w:rsidR="004A7BF0" w:rsidRPr="009E0952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="004A7BF0" w:rsidRPr="009E095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nau</w:t>
            </w:r>
            <w:r w:rsidR="004A7BF0" w:rsidRPr="009E095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="004A7BF0" w:rsidRPr="009E095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A7BF0" w:rsidRPr="004A7BF0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  <w:p w:rsidR="00FE5E5E" w:rsidRPr="00C660B7" w:rsidRDefault="00FE5E5E" w:rsidP="00304F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Робоче місце</w:t>
            </w:r>
            <w:r w:rsidRPr="003427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B11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4A7BF0">
              <w:rPr>
                <w:rFonts w:ascii="Times New Roman" w:hAnsi="Times New Roman"/>
                <w:sz w:val="24"/>
                <w:szCs w:val="24"/>
                <w:lang w:val="en-US"/>
              </w:rPr>
              <w:t>12.118</w:t>
            </w:r>
            <w:r w:rsidR="00C660B7">
              <w:rPr>
                <w:rFonts w:ascii="Times New Roman" w:hAnsi="Times New Roman"/>
                <w:sz w:val="24"/>
                <w:szCs w:val="24"/>
              </w:rPr>
              <w:t>, 12.210</w:t>
            </w:r>
          </w:p>
        </w:tc>
      </w:tr>
      <w:tr w:rsidR="00FE5E5E" w:rsidTr="00AB5C0C">
        <w:trPr>
          <w:trHeight w:val="692"/>
        </w:trPr>
        <w:tc>
          <w:tcPr>
            <w:tcW w:w="2977" w:type="dxa"/>
            <w:shd w:val="clear" w:color="auto" w:fill="BFBFBF" w:themeFill="background1" w:themeFillShade="BF"/>
          </w:tcPr>
          <w:p w:rsidR="00FE5E5E" w:rsidRPr="00CE479B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444" w:type="dxa"/>
          </w:tcPr>
          <w:p w:rsidR="00FE5E5E" w:rsidRDefault="005A105B" w:rsidP="005F5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2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Авторський курс</w:t>
            </w:r>
          </w:p>
        </w:tc>
      </w:tr>
      <w:tr w:rsidR="00FE5E5E" w:rsidTr="00AB5C0C">
        <w:trPr>
          <w:trHeight w:val="418"/>
        </w:trPr>
        <w:tc>
          <w:tcPr>
            <w:tcW w:w="2977" w:type="dxa"/>
            <w:shd w:val="clear" w:color="auto" w:fill="BFBFBF" w:themeFill="background1" w:themeFillShade="BF"/>
          </w:tcPr>
          <w:p w:rsidR="00FE5E5E" w:rsidRDefault="00FE5E5E" w:rsidP="00C0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Лінк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444" w:type="dxa"/>
          </w:tcPr>
          <w:p w:rsidR="00FE5E5E" w:rsidRDefault="005A105B" w:rsidP="005F5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D44EB8" w:rsidRPr="006C58BB" w:rsidRDefault="00D44EB8" w:rsidP="00646DC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1979" w:rsidRDefault="00B91979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521DB" w:rsidRDefault="004A7B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Розробник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Ледовських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В.М</w:t>
      </w:r>
      <w:r w:rsidR="00EA68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E00F0" w:rsidRDefault="004A7B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Завідувач кафедри хімії </w:t>
      </w:r>
    </w:p>
    <w:p w:rsidR="000E00F0" w:rsidRDefault="000E00F0" w:rsidP="006A695C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 хімічної технології                                                                                           Чумак В.Л.</w:t>
      </w:r>
    </w:p>
    <w:p w:rsidR="00A34619" w:rsidRDefault="00A34619" w:rsidP="002A3D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A34619" w:rsidSect="005F5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41A"/>
    <w:multiLevelType w:val="hybridMultilevel"/>
    <w:tmpl w:val="714E3BA6"/>
    <w:lvl w:ilvl="0" w:tplc="724427E2">
      <w:start w:val="1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45952748"/>
    <w:multiLevelType w:val="hybridMultilevel"/>
    <w:tmpl w:val="6C68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1E3B"/>
    <w:rsid w:val="000014ED"/>
    <w:rsid w:val="00011D18"/>
    <w:rsid w:val="00034328"/>
    <w:rsid w:val="0004495A"/>
    <w:rsid w:val="000606E5"/>
    <w:rsid w:val="0006094D"/>
    <w:rsid w:val="00071FB3"/>
    <w:rsid w:val="000875E4"/>
    <w:rsid w:val="000C404C"/>
    <w:rsid w:val="000E00F0"/>
    <w:rsid w:val="000E699B"/>
    <w:rsid w:val="00102B7E"/>
    <w:rsid w:val="00102E7A"/>
    <w:rsid w:val="00112275"/>
    <w:rsid w:val="001134A9"/>
    <w:rsid w:val="00177E2C"/>
    <w:rsid w:val="001B71B8"/>
    <w:rsid w:val="00215914"/>
    <w:rsid w:val="002267D5"/>
    <w:rsid w:val="00244F04"/>
    <w:rsid w:val="002711E7"/>
    <w:rsid w:val="002A3D52"/>
    <w:rsid w:val="002B0C94"/>
    <w:rsid w:val="002B28DE"/>
    <w:rsid w:val="002B30AA"/>
    <w:rsid w:val="002D6A39"/>
    <w:rsid w:val="002E6A19"/>
    <w:rsid w:val="002F06AD"/>
    <w:rsid w:val="002F0F7A"/>
    <w:rsid w:val="002F33D1"/>
    <w:rsid w:val="003039C5"/>
    <w:rsid w:val="003215C7"/>
    <w:rsid w:val="00342769"/>
    <w:rsid w:val="00363C82"/>
    <w:rsid w:val="0039226B"/>
    <w:rsid w:val="003A4229"/>
    <w:rsid w:val="003C15F7"/>
    <w:rsid w:val="003E423D"/>
    <w:rsid w:val="003F2645"/>
    <w:rsid w:val="00413D67"/>
    <w:rsid w:val="004315CF"/>
    <w:rsid w:val="00443BFD"/>
    <w:rsid w:val="00480D63"/>
    <w:rsid w:val="004A7BF0"/>
    <w:rsid w:val="004E7020"/>
    <w:rsid w:val="00504B73"/>
    <w:rsid w:val="00540E63"/>
    <w:rsid w:val="00592216"/>
    <w:rsid w:val="00596833"/>
    <w:rsid w:val="005A105B"/>
    <w:rsid w:val="005B32E5"/>
    <w:rsid w:val="005B35AB"/>
    <w:rsid w:val="005F229B"/>
    <w:rsid w:val="005F5D70"/>
    <w:rsid w:val="00606397"/>
    <w:rsid w:val="006123BC"/>
    <w:rsid w:val="00627FC9"/>
    <w:rsid w:val="00646DCA"/>
    <w:rsid w:val="00651B53"/>
    <w:rsid w:val="006560AB"/>
    <w:rsid w:val="0067495E"/>
    <w:rsid w:val="006924B9"/>
    <w:rsid w:val="006949D1"/>
    <w:rsid w:val="006A529D"/>
    <w:rsid w:val="006A695C"/>
    <w:rsid w:val="006C58BB"/>
    <w:rsid w:val="006D4469"/>
    <w:rsid w:val="006E231F"/>
    <w:rsid w:val="006E7BC7"/>
    <w:rsid w:val="006F37BB"/>
    <w:rsid w:val="00721B11"/>
    <w:rsid w:val="00727437"/>
    <w:rsid w:val="007407AD"/>
    <w:rsid w:val="007668DB"/>
    <w:rsid w:val="007679C0"/>
    <w:rsid w:val="007704D0"/>
    <w:rsid w:val="007B68C2"/>
    <w:rsid w:val="007B6A9C"/>
    <w:rsid w:val="007C368D"/>
    <w:rsid w:val="007D5E07"/>
    <w:rsid w:val="007E4B58"/>
    <w:rsid w:val="00815C10"/>
    <w:rsid w:val="008314FD"/>
    <w:rsid w:val="008521DB"/>
    <w:rsid w:val="008568EF"/>
    <w:rsid w:val="00883DF4"/>
    <w:rsid w:val="00892A83"/>
    <w:rsid w:val="008960D7"/>
    <w:rsid w:val="008A1991"/>
    <w:rsid w:val="008A6A4E"/>
    <w:rsid w:val="008B0604"/>
    <w:rsid w:val="008F0D81"/>
    <w:rsid w:val="00931AC0"/>
    <w:rsid w:val="0093337E"/>
    <w:rsid w:val="009746E1"/>
    <w:rsid w:val="009918F4"/>
    <w:rsid w:val="009A170E"/>
    <w:rsid w:val="009A3D80"/>
    <w:rsid w:val="009C1E58"/>
    <w:rsid w:val="009D1A1E"/>
    <w:rsid w:val="009D71E2"/>
    <w:rsid w:val="009E0952"/>
    <w:rsid w:val="009F373C"/>
    <w:rsid w:val="009F3ADD"/>
    <w:rsid w:val="00A20A5D"/>
    <w:rsid w:val="00A34619"/>
    <w:rsid w:val="00A54B71"/>
    <w:rsid w:val="00A667B6"/>
    <w:rsid w:val="00A754C6"/>
    <w:rsid w:val="00A80862"/>
    <w:rsid w:val="00A817FB"/>
    <w:rsid w:val="00A8311D"/>
    <w:rsid w:val="00A93A1A"/>
    <w:rsid w:val="00AA094A"/>
    <w:rsid w:val="00AA6A40"/>
    <w:rsid w:val="00AA7F95"/>
    <w:rsid w:val="00AB5C0C"/>
    <w:rsid w:val="00AC5EAC"/>
    <w:rsid w:val="00B15A97"/>
    <w:rsid w:val="00B27413"/>
    <w:rsid w:val="00B548A1"/>
    <w:rsid w:val="00B57BFD"/>
    <w:rsid w:val="00B91979"/>
    <w:rsid w:val="00BC1442"/>
    <w:rsid w:val="00BE0CCB"/>
    <w:rsid w:val="00BE62A2"/>
    <w:rsid w:val="00C04757"/>
    <w:rsid w:val="00C134F3"/>
    <w:rsid w:val="00C13FB3"/>
    <w:rsid w:val="00C6193E"/>
    <w:rsid w:val="00C660B7"/>
    <w:rsid w:val="00C86694"/>
    <w:rsid w:val="00CA1977"/>
    <w:rsid w:val="00CB1156"/>
    <w:rsid w:val="00CC0EA3"/>
    <w:rsid w:val="00CE479B"/>
    <w:rsid w:val="00D36971"/>
    <w:rsid w:val="00D44EB8"/>
    <w:rsid w:val="00D45470"/>
    <w:rsid w:val="00D9058A"/>
    <w:rsid w:val="00D92B22"/>
    <w:rsid w:val="00DD0ACE"/>
    <w:rsid w:val="00DF3FB9"/>
    <w:rsid w:val="00E10AA3"/>
    <w:rsid w:val="00E21796"/>
    <w:rsid w:val="00E4248F"/>
    <w:rsid w:val="00E4478E"/>
    <w:rsid w:val="00E44EE0"/>
    <w:rsid w:val="00E47FC0"/>
    <w:rsid w:val="00E5244E"/>
    <w:rsid w:val="00E55AB4"/>
    <w:rsid w:val="00E63D69"/>
    <w:rsid w:val="00E76934"/>
    <w:rsid w:val="00E813CB"/>
    <w:rsid w:val="00E81B95"/>
    <w:rsid w:val="00E97F45"/>
    <w:rsid w:val="00EA6801"/>
    <w:rsid w:val="00EC65B1"/>
    <w:rsid w:val="00ED5581"/>
    <w:rsid w:val="00F02A10"/>
    <w:rsid w:val="00F0449C"/>
    <w:rsid w:val="00F064F4"/>
    <w:rsid w:val="00F31CB1"/>
    <w:rsid w:val="00F464ED"/>
    <w:rsid w:val="00F54691"/>
    <w:rsid w:val="00F57F29"/>
    <w:rsid w:val="00F72553"/>
    <w:rsid w:val="00F81E3B"/>
    <w:rsid w:val="00F8640C"/>
    <w:rsid w:val="00F9432E"/>
    <w:rsid w:val="00FB0B82"/>
    <w:rsid w:val="00FC7888"/>
    <w:rsid w:val="00FE0D3D"/>
    <w:rsid w:val="00FE1811"/>
    <w:rsid w:val="00FE27F9"/>
    <w:rsid w:val="00FE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F4"/>
    <w:pPr>
      <w:spacing w:after="160" w:line="25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F229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2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F22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4ED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2E6A1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D5E07"/>
    <w:pPr>
      <w:ind w:left="720"/>
      <w:contextualSpacing/>
    </w:pPr>
  </w:style>
  <w:style w:type="paragraph" w:styleId="a9">
    <w:name w:val="Body Text Indent"/>
    <w:basedOn w:val="a"/>
    <w:link w:val="aa"/>
    <w:rsid w:val="00A93A1A"/>
    <w:pPr>
      <w:spacing w:after="0" w:line="240" w:lineRule="auto"/>
      <w:ind w:firstLine="708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93A1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21">
    <w:name w:val="Основной текст с отступом 21"/>
    <w:basedOn w:val="a"/>
    <w:rsid w:val="005B32E5"/>
    <w:pPr>
      <w:suppressAutoHyphens/>
      <w:spacing w:after="0" w:line="240" w:lineRule="auto"/>
      <w:ind w:firstLine="705"/>
      <w:jc w:val="both"/>
    </w:pPr>
    <w:rPr>
      <w:rFonts w:ascii="Times New Roman" w:hAnsi="Times New Roman"/>
      <w:sz w:val="28"/>
      <w:szCs w:val="24"/>
      <w:lang w:eastAsia="zh-CN"/>
    </w:rPr>
  </w:style>
  <w:style w:type="paragraph" w:customStyle="1" w:styleId="p3">
    <w:name w:val="p3"/>
    <w:basedOn w:val="a"/>
    <w:rsid w:val="0039226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08DF-52D6-429E-B96A-53A11F97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2020-05-19T20:29:00Z</cp:lastPrinted>
  <dcterms:created xsi:type="dcterms:W3CDTF">2020-11-20T07:57:00Z</dcterms:created>
  <dcterms:modified xsi:type="dcterms:W3CDTF">2020-11-20T09:52:00Z</dcterms:modified>
</cp:coreProperties>
</file>